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C0C" w:rsidRPr="00596589" w:rsidRDefault="00E22C0C" w:rsidP="00E22C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6589">
        <w:rPr>
          <w:rFonts w:ascii="Times New Roman" w:hAnsi="Times New Roman" w:cs="Times New Roman"/>
          <w:sz w:val="24"/>
          <w:szCs w:val="24"/>
        </w:rPr>
        <w:t>ПОЯСНИТЕЛЬНАЯ ЗАПИСКА К ПРОФЕССИОНАЛЬНОМУ СТАН</w:t>
      </w:r>
      <w:r w:rsidR="001C654F">
        <w:rPr>
          <w:rFonts w:ascii="Times New Roman" w:hAnsi="Times New Roman" w:cs="Times New Roman"/>
          <w:sz w:val="24"/>
          <w:szCs w:val="24"/>
        </w:rPr>
        <w:t>ДАРТУ «СПЕЦИАЛИСТ В ОЦЕНОЧНОЙ ДЕЯТЕЛЬНОСТИ</w:t>
      </w:r>
      <w:r w:rsidRPr="00596589">
        <w:rPr>
          <w:rFonts w:ascii="Times New Roman" w:hAnsi="Times New Roman" w:cs="Times New Roman"/>
          <w:sz w:val="24"/>
          <w:szCs w:val="24"/>
        </w:rPr>
        <w:t>»</w:t>
      </w:r>
    </w:p>
    <w:p w:rsidR="00E22C0C" w:rsidRPr="00596589" w:rsidRDefault="00E22C0C" w:rsidP="00E22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89">
        <w:rPr>
          <w:rFonts w:ascii="Times New Roman" w:hAnsi="Times New Roman" w:cs="Times New Roman"/>
          <w:sz w:val="24"/>
          <w:szCs w:val="24"/>
        </w:rPr>
        <w:t>РАЗДЕЛ 1.</w:t>
      </w:r>
      <w:r w:rsidRPr="00596589">
        <w:rPr>
          <w:rFonts w:ascii="Times New Roman" w:hAnsi="Times New Roman" w:cs="Times New Roman"/>
          <w:sz w:val="24"/>
          <w:szCs w:val="24"/>
        </w:rPr>
        <w:tab/>
        <w:t>Общая характеристика вида профессиональной деятельности</w:t>
      </w:r>
      <w:r w:rsidRPr="00596589">
        <w:rPr>
          <w:rFonts w:ascii="Times New Roman" w:hAnsi="Times New Roman" w:cs="Times New Roman"/>
          <w:sz w:val="24"/>
          <w:szCs w:val="24"/>
        </w:rPr>
        <w:tab/>
      </w:r>
    </w:p>
    <w:p w:rsidR="00E22C0C" w:rsidRPr="00596589" w:rsidRDefault="00E22C0C" w:rsidP="00E22C0C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89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C908EF">
        <w:rPr>
          <w:rFonts w:ascii="Times New Roman" w:hAnsi="Times New Roman" w:cs="Times New Roman"/>
          <w:b/>
          <w:sz w:val="24"/>
          <w:szCs w:val="24"/>
        </w:rPr>
        <w:t>б изменениях в профессиональный стандарт.</w:t>
      </w:r>
    </w:p>
    <w:p w:rsidR="003E7FDC" w:rsidRPr="003E7FDC" w:rsidRDefault="00E22C0C" w:rsidP="003E7FDC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89">
        <w:rPr>
          <w:rFonts w:ascii="Times New Roman" w:hAnsi="Times New Roman" w:cs="Times New Roman"/>
          <w:sz w:val="24"/>
          <w:szCs w:val="24"/>
        </w:rPr>
        <w:tab/>
      </w:r>
    </w:p>
    <w:p w:rsidR="003E7FDC" w:rsidRPr="003E7FDC" w:rsidRDefault="003E7FDC" w:rsidP="003E7FD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DC">
        <w:rPr>
          <w:rFonts w:ascii="Times New Roman" w:hAnsi="Times New Roman" w:cs="Times New Roman"/>
          <w:sz w:val="24"/>
          <w:szCs w:val="24"/>
        </w:rPr>
        <w:t>В целях обсуждения необходимости актуализации Профстандарта «Специалист в оценочной деятельности» в рамках Международной научно-методической конференции «Smart-технологии в образовании: портрет выпускника 2020» 23 марта 2017 г. состоялся Круглый стол «Государственные требования к квалификации специалистов, осуществляющих публично-правовые функции на финансовом рынке».</w:t>
      </w:r>
    </w:p>
    <w:p w:rsidR="003E7FDC" w:rsidRPr="003E7FDC" w:rsidRDefault="003E7FDC" w:rsidP="003E7FDC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DC">
        <w:rPr>
          <w:rFonts w:ascii="Times New Roman" w:hAnsi="Times New Roman" w:cs="Times New Roman"/>
          <w:sz w:val="24"/>
          <w:szCs w:val="24"/>
        </w:rPr>
        <w:t>Обсужден проект Отраслевой рамки квалификации «Специалист в оценочной деятельности»</w:t>
      </w:r>
      <w:r w:rsidR="002404CF">
        <w:rPr>
          <w:rFonts w:ascii="Times New Roman" w:hAnsi="Times New Roman" w:cs="Times New Roman"/>
          <w:sz w:val="24"/>
          <w:szCs w:val="24"/>
        </w:rPr>
        <w:t xml:space="preserve"> и вопросы актуализации профессионального стандарта «Специалист в оценочной деятельности»</w:t>
      </w:r>
      <w:r w:rsidRPr="003E7FDC">
        <w:rPr>
          <w:rFonts w:ascii="Times New Roman" w:hAnsi="Times New Roman" w:cs="Times New Roman"/>
          <w:sz w:val="24"/>
          <w:szCs w:val="24"/>
        </w:rPr>
        <w:t>.</w:t>
      </w:r>
    </w:p>
    <w:p w:rsidR="003E7FDC" w:rsidRPr="003E7FDC" w:rsidRDefault="003E7FDC" w:rsidP="003E7FDC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7FDC" w:rsidRPr="003E7FDC" w:rsidRDefault="003E7FDC" w:rsidP="003E7FD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DC">
        <w:rPr>
          <w:rFonts w:ascii="Times New Roman" w:hAnsi="Times New Roman" w:cs="Times New Roman"/>
          <w:sz w:val="24"/>
          <w:szCs w:val="24"/>
        </w:rPr>
        <w:t>В целях обсуждения необходимости актуализации Профстандарта «Специалист в оценочной деятельности» и информирования оценочного сообщества о деятельности Комиссии</w:t>
      </w:r>
      <w:r w:rsidR="00C908EF">
        <w:rPr>
          <w:rFonts w:ascii="Times New Roman" w:hAnsi="Times New Roman" w:cs="Times New Roman"/>
          <w:sz w:val="24"/>
          <w:szCs w:val="24"/>
        </w:rPr>
        <w:t xml:space="preserve"> по профессиональным квалификациям в области оценочной деятельности СПК финансового рынка</w:t>
      </w:r>
      <w:r w:rsidRPr="003E7FDC">
        <w:rPr>
          <w:rFonts w:ascii="Times New Roman" w:hAnsi="Times New Roman" w:cs="Times New Roman"/>
          <w:sz w:val="24"/>
          <w:szCs w:val="24"/>
        </w:rPr>
        <w:t xml:space="preserve"> 03 апреля 2017 г. Комитетом по финансовым услугам (подкомитет по оценочной деятельности) Деловой России провел круглый стол «О развитии межведомственного взаимодействия при выработке основ государственной политики развития отраслей и осуществлении контроля (надзора)».</w:t>
      </w:r>
    </w:p>
    <w:p w:rsidR="003E7FDC" w:rsidRPr="003E7FDC" w:rsidRDefault="003E7FDC" w:rsidP="003E7FDC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DC">
        <w:rPr>
          <w:rFonts w:ascii="Times New Roman" w:hAnsi="Times New Roman" w:cs="Times New Roman"/>
          <w:sz w:val="24"/>
          <w:szCs w:val="24"/>
        </w:rPr>
        <w:t>В рамках данного круглого стола была обсужден проект Отраслевой рамки квалификации «Специалист в оценочной деятельности» и проект Приказа Минэкономразвития России о порядке проведения квалификационного экзамена оценщиков. Участники круглого стола констатировали недопустимость принятия Приказа Минэкономразвития России о проведении квалификационного экзамена оценщиков в отрыве от базовых принципов ФЗ «О независимой оценке квалификаций» и без учета позиции СПКФР и требований профстандарта «Специалист в оценочной деятельности».</w:t>
      </w:r>
    </w:p>
    <w:p w:rsidR="003E7FDC" w:rsidRPr="003E7FDC" w:rsidRDefault="003E7FDC" w:rsidP="003E7FD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DC">
        <w:rPr>
          <w:rFonts w:ascii="Times New Roman" w:hAnsi="Times New Roman" w:cs="Times New Roman"/>
          <w:sz w:val="24"/>
          <w:szCs w:val="24"/>
        </w:rPr>
        <w:t xml:space="preserve">В Национальном Совете по оценочной деятельности прошло обсуждение профессионального стандарта «Специалист в оценочной деятельности». Членами Комиссии Е.В. Петровской, И.А. Шевцовой, М.А. Власовой 12 апреля 2017 г. подготовлено письмо с позицией Национального Совета по оценочной деятельности </w:t>
      </w:r>
      <w:r w:rsidRPr="003E7FDC">
        <w:rPr>
          <w:rFonts w:ascii="Times New Roman" w:hAnsi="Times New Roman" w:cs="Times New Roman"/>
          <w:sz w:val="24"/>
          <w:szCs w:val="24"/>
        </w:rPr>
        <w:lastRenderedPageBreak/>
        <w:t>о недопустимости принятия Приказа Минэкономразвития России о проведении квалификационного экзамена без учета положений профстандарта «Специалист в оценочной деятельности»</w:t>
      </w:r>
    </w:p>
    <w:p w:rsidR="003E7FDC" w:rsidRPr="003E7FDC" w:rsidRDefault="003E7FDC" w:rsidP="003E7FDC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DC">
        <w:rPr>
          <w:rFonts w:ascii="Times New Roman" w:hAnsi="Times New Roman" w:cs="Times New Roman"/>
          <w:sz w:val="24"/>
          <w:szCs w:val="24"/>
        </w:rPr>
        <w:t>Письмо представлено в адрес Минэкономразвития России.</w:t>
      </w:r>
    </w:p>
    <w:p w:rsidR="003E7FDC" w:rsidRPr="003E7FDC" w:rsidRDefault="003E7FDC" w:rsidP="003E7FD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DC">
        <w:rPr>
          <w:rFonts w:ascii="Times New Roman" w:hAnsi="Times New Roman" w:cs="Times New Roman"/>
          <w:sz w:val="24"/>
          <w:szCs w:val="24"/>
        </w:rPr>
        <w:t>17 апреля 2017 г. в рамках очередного заседания Комиссии рассмотрены проекты оценочных средств :</w:t>
      </w:r>
    </w:p>
    <w:p w:rsidR="003E7FDC" w:rsidRPr="003E7FDC" w:rsidRDefault="003E7FDC" w:rsidP="003E7FD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DC">
        <w:rPr>
          <w:rFonts w:ascii="Times New Roman" w:hAnsi="Times New Roman" w:cs="Times New Roman"/>
          <w:sz w:val="24"/>
          <w:szCs w:val="24"/>
        </w:rPr>
        <w:t>КОС «Оценщик культурных ценностей» 6 уровня квалификации;</w:t>
      </w:r>
    </w:p>
    <w:p w:rsidR="003E7FDC" w:rsidRPr="003E7FDC" w:rsidRDefault="003E7FDC" w:rsidP="003E7FD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DC">
        <w:rPr>
          <w:rFonts w:ascii="Times New Roman" w:hAnsi="Times New Roman" w:cs="Times New Roman"/>
          <w:sz w:val="24"/>
          <w:szCs w:val="24"/>
        </w:rPr>
        <w:t xml:space="preserve">КОС «Оценщик объектов </w:t>
      </w:r>
      <w:r w:rsidRPr="003E7F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7FDC">
        <w:rPr>
          <w:rFonts w:ascii="Times New Roman" w:hAnsi="Times New Roman" w:cs="Times New Roman"/>
          <w:sz w:val="24"/>
          <w:szCs w:val="24"/>
        </w:rPr>
        <w:t xml:space="preserve"> категории сложности 6 уровня квалификации;</w:t>
      </w:r>
    </w:p>
    <w:p w:rsidR="003E7FDC" w:rsidRPr="003E7FDC" w:rsidRDefault="003E7FDC" w:rsidP="003E7FD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DC">
        <w:rPr>
          <w:rFonts w:ascii="Times New Roman" w:hAnsi="Times New Roman" w:cs="Times New Roman"/>
          <w:sz w:val="24"/>
          <w:szCs w:val="24"/>
        </w:rPr>
        <w:t>КОС «Кадастровый оценщик»</w:t>
      </w:r>
    </w:p>
    <w:p w:rsidR="003E7FDC" w:rsidRPr="003E7FDC" w:rsidRDefault="003E7FDC" w:rsidP="003E7FD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DC">
        <w:rPr>
          <w:rFonts w:ascii="Times New Roman" w:hAnsi="Times New Roman" w:cs="Times New Roman"/>
          <w:sz w:val="24"/>
          <w:szCs w:val="24"/>
        </w:rPr>
        <w:t xml:space="preserve">Практические задания для квалификации Оценщик объектов </w:t>
      </w:r>
      <w:r w:rsidRPr="003E7F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7FDC">
        <w:rPr>
          <w:rFonts w:ascii="Times New Roman" w:hAnsi="Times New Roman" w:cs="Times New Roman"/>
          <w:sz w:val="24"/>
          <w:szCs w:val="24"/>
        </w:rPr>
        <w:t>I категории сложности 7 уровня квалификации;</w:t>
      </w:r>
    </w:p>
    <w:p w:rsidR="003E7FDC" w:rsidRPr="003E7FDC" w:rsidRDefault="003E7FDC" w:rsidP="003E7FD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DC">
        <w:rPr>
          <w:rFonts w:ascii="Times New Roman" w:hAnsi="Times New Roman" w:cs="Times New Roman"/>
          <w:sz w:val="24"/>
          <w:szCs w:val="24"/>
        </w:rPr>
        <w:t>На межрегиональном Форуме оценщиков в Черноземье 01 июня 2017 прошло обсуждение Отраслевой рамки квалификации «Специалист в оценочной деятельности». Участники предложили внести изменения в профессиональный стандарт «Специалист в оценочной деятельности». Предложения будут направлены в Совет по профессиональным квалификациям финансового рынка.</w:t>
      </w:r>
    </w:p>
    <w:p w:rsidR="003E7FDC" w:rsidRPr="003E7FDC" w:rsidRDefault="003E7FDC" w:rsidP="003E7FD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DC">
        <w:rPr>
          <w:rFonts w:ascii="Times New Roman" w:hAnsi="Times New Roman" w:cs="Times New Roman"/>
          <w:sz w:val="24"/>
          <w:szCs w:val="24"/>
        </w:rPr>
        <w:t>22 июня 2017 на конференции Ассоциации Банков Северо-Запада «Консолидация Банков, оценщиков, арбитражных управляющих-вектор снижения неликвидных активов» была представлена Отраслевая рамка квалификации «Специалист в оценочной деятельности». Принятие Положения Банка России от 26 декабря 2016 г. № 570-П “О порядке проведения Банком России экспертизы предмета залога, принятого кредитной организацией в качестве обеспечения по ссуде” вызовет необходимость актуализации простандарта «Специалист в оценочной деятельности» в части расширения трудовых действий оценщиков по анализу оборотоспособности  и ликвидности объекта оценки.</w:t>
      </w:r>
    </w:p>
    <w:p w:rsidR="00E22C0C" w:rsidRPr="00596589" w:rsidRDefault="00E22C0C" w:rsidP="00E22C0C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89">
        <w:rPr>
          <w:rFonts w:ascii="Times New Roman" w:hAnsi="Times New Roman" w:cs="Times New Roman"/>
          <w:sz w:val="24"/>
          <w:szCs w:val="24"/>
        </w:rPr>
        <w:tab/>
      </w:r>
      <w:r w:rsidRPr="00596589">
        <w:rPr>
          <w:rFonts w:ascii="Times New Roman" w:hAnsi="Times New Roman" w:cs="Times New Roman"/>
          <w:sz w:val="24"/>
          <w:szCs w:val="24"/>
        </w:rPr>
        <w:tab/>
      </w:r>
    </w:p>
    <w:p w:rsidR="00E22C0C" w:rsidRDefault="00E22C0C" w:rsidP="00E22C0C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89">
        <w:rPr>
          <w:rFonts w:ascii="Times New Roman" w:hAnsi="Times New Roman" w:cs="Times New Roman"/>
          <w:b/>
          <w:sz w:val="24"/>
          <w:szCs w:val="24"/>
        </w:rPr>
        <w:t>Описание обобщенных трудовых функций, входящих в вид профессиональной деятельности, и обоснование их отнесения к конкретным уровням (подуровням) квалификации.</w:t>
      </w:r>
    </w:p>
    <w:p w:rsidR="001C654F" w:rsidRPr="00CE65F2" w:rsidRDefault="00CE65F2" w:rsidP="001C654F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</w:t>
      </w:r>
      <w:r w:rsidRPr="00CE65F2">
        <w:rPr>
          <w:rFonts w:ascii="Times New Roman" w:hAnsi="Times New Roman" w:cs="Times New Roman"/>
          <w:sz w:val="24"/>
          <w:szCs w:val="24"/>
        </w:rPr>
        <w:t xml:space="preserve"> к изменению </w:t>
      </w:r>
      <w:r>
        <w:rPr>
          <w:rFonts w:ascii="Times New Roman" w:hAnsi="Times New Roman" w:cs="Times New Roman"/>
          <w:sz w:val="24"/>
          <w:szCs w:val="24"/>
        </w:rPr>
        <w:t>описания квалификаций профессионального стандарта.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795"/>
        <w:gridCol w:w="2386"/>
        <w:gridCol w:w="1694"/>
        <w:gridCol w:w="3220"/>
        <w:gridCol w:w="905"/>
      </w:tblGrid>
      <w:tr w:rsidR="00523FD3" w:rsidRPr="00523FD3" w:rsidTr="00523FD3">
        <w:trPr>
          <w:trHeight w:val="13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</w:tr>
      <w:tr w:rsidR="00523FD3" w:rsidRPr="00523FD3" w:rsidTr="00523FD3">
        <w:trPr>
          <w:trHeight w:val="540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Вспомогательная деятельность при определении стоимостей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вспомогательных работ при определении стоимостей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A/01.5</w:t>
            </w:r>
          </w:p>
        </w:tc>
      </w:tr>
      <w:tr w:rsidR="00523FD3" w:rsidRPr="00523FD3" w:rsidTr="00523FD3">
        <w:trPr>
          <w:trHeight w:val="52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и фотографирование объектов для определения стоимостей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A/02.5</w:t>
            </w:r>
          </w:p>
        </w:tc>
      </w:tr>
      <w:tr w:rsidR="00523FD3" w:rsidRPr="00523FD3" w:rsidTr="00523FD3">
        <w:trPr>
          <w:trHeight w:val="1290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объектов I категории сложности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серийно выпускаемых в настоящее время транспортных средств (далее - транспортные средства 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</w:p>
        </w:tc>
      </w:tr>
      <w:tr w:rsidR="00523FD3" w:rsidRPr="00523FD3" w:rsidTr="00523FD3">
        <w:trPr>
          <w:trHeight w:val="103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массово (серийно) представленного движимого имущества (движимого имущества 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B/02.6</w:t>
            </w:r>
          </w:p>
        </w:tc>
      </w:tr>
      <w:tr w:rsidR="00523FD3" w:rsidRPr="00523FD3" w:rsidTr="00523FD3">
        <w:trPr>
          <w:trHeight w:val="180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недвижимого имущества, за исключением недвижимого имущества, относящегося ко II и к III категориям сложности (далее - недвижимое имущество 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B/03.6</w:t>
            </w:r>
          </w:p>
        </w:tc>
      </w:tr>
      <w:tr w:rsidR="00523FD3" w:rsidRPr="00523FD3" w:rsidTr="00523FD3">
        <w:trPr>
          <w:trHeight w:val="129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предприятий, за исключением относящихся ко II и к III категориям сложности (далее - предприятия 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B/04.6</w:t>
            </w:r>
          </w:p>
        </w:tc>
      </w:tr>
      <w:tr w:rsidR="00523FD3" w:rsidRPr="00523FD3" w:rsidTr="00523FD3">
        <w:trPr>
          <w:trHeight w:val="129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культурных ценностей, возраст которых не превышает пятидесяти лет (культурных ценностей 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B/05.6</w:t>
            </w:r>
          </w:p>
        </w:tc>
      </w:tr>
      <w:tr w:rsidR="00523FD3" w:rsidRPr="00523FD3" w:rsidTr="00523FD3">
        <w:trPr>
          <w:trHeight w:val="1800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объектов II категории сложности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транспортных средств, выпускаемых ограниченными сериями, а также тех, выпуск которых прекращен не более тридцати лет назад (далее - транспортные средства II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C/01.7</w:t>
            </w:r>
          </w:p>
        </w:tc>
      </w:tr>
      <w:tr w:rsidR="00523FD3" w:rsidRPr="00523FD3" w:rsidTr="00523FD3">
        <w:trPr>
          <w:trHeight w:val="180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движимого имущества, выпущенного ограниченными сериями, а также извлеченных (добытых из недр) полезных ископаемых и сырья (далее - движимое имущество II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C/02.7</w:t>
            </w:r>
          </w:p>
        </w:tc>
      </w:tr>
      <w:tr w:rsidR="00523FD3" w:rsidRPr="00523FD3" w:rsidTr="00523FD3">
        <w:trPr>
          <w:trHeight w:val="129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месторождений полезных ископаемых, участков недр и прав, связанных с ними (далее - недвижимое имущество II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C/03.7</w:t>
            </w:r>
          </w:p>
        </w:tc>
      </w:tr>
      <w:tr w:rsidR="00523FD3" w:rsidRPr="00523FD3" w:rsidTr="00523FD3">
        <w:trPr>
          <w:trHeight w:val="180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предприятий добывающих отраслей, многопрофильных холдингов, за исключением предприятий, относящихся к III категории сложности (далее - предприятия II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C/04.7</w:t>
            </w:r>
          </w:p>
        </w:tc>
      </w:tr>
      <w:tr w:rsidR="00523FD3" w:rsidRPr="00523FD3" w:rsidTr="00523FD3">
        <w:trPr>
          <w:trHeight w:val="180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интеллектуальной собственности, за исключением интеллектуальной собственности, относящейся к III категории сложности (далее - интеллектуальная собственность I и II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C/05.7</w:t>
            </w:r>
          </w:p>
        </w:tc>
      </w:tr>
      <w:tr w:rsidR="00523FD3" w:rsidRPr="00523FD3" w:rsidTr="00523FD3">
        <w:trPr>
          <w:trHeight w:val="129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культурных ценностей, возраст которых более пятидесяти лет, но не более ста лет (далее - культурные ценности II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C/06.7</w:t>
            </w:r>
          </w:p>
        </w:tc>
      </w:tr>
      <w:tr w:rsidR="00523FD3" w:rsidRPr="00523FD3" w:rsidTr="00523FD3">
        <w:trPr>
          <w:trHeight w:val="540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кадастровой стоимости объектов недвижимости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кадастровой стоимости земельных участков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D/01.7</w:t>
            </w:r>
          </w:p>
        </w:tc>
      </w:tr>
      <w:tr w:rsidR="00523FD3" w:rsidRPr="00523FD3" w:rsidTr="00523FD3">
        <w:trPr>
          <w:trHeight w:val="52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кадастровой стоимости объектов капитального строительства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D/02.7</w:t>
            </w:r>
          </w:p>
        </w:tc>
      </w:tr>
      <w:tr w:rsidR="00523FD3" w:rsidRPr="00523FD3" w:rsidTr="00523FD3">
        <w:trPr>
          <w:trHeight w:val="1545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объектов III категории сложности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транспортных средств, выпуск которых прекращен более тридцати лет назад, и уникальных транспортных средств (далее - транспортные средства III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E/01.8</w:t>
            </w:r>
          </w:p>
        </w:tc>
      </w:tr>
      <w:tr w:rsidR="00523FD3" w:rsidRPr="00523FD3" w:rsidTr="00523FD3">
        <w:trPr>
          <w:trHeight w:val="129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уникального и представленного в единичных образцах движимого имущества (далее - движимое имущество III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E/02.8</w:t>
            </w:r>
          </w:p>
        </w:tc>
      </w:tr>
      <w:tr w:rsidR="00523FD3" w:rsidRPr="00523FD3" w:rsidTr="00523FD3">
        <w:trPr>
          <w:trHeight w:val="205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земель особо охраняемых территорий и объектов, памятников архитектуры и объектов культурного наследия (относящихся к недвижимому имуществу) и прав, связанных с ними (далее - недвижимое имущество III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E/03.8</w:t>
            </w:r>
          </w:p>
        </w:tc>
      </w:tr>
      <w:tr w:rsidR="00523FD3" w:rsidRPr="00523FD3" w:rsidTr="00523FD3">
        <w:trPr>
          <w:trHeight w:val="129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кредитных и некредитных финансовых организаций, транснациональных организаций (далее - организации III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E/04.8</w:t>
            </w:r>
          </w:p>
        </w:tc>
      </w:tr>
      <w:tr w:rsidR="00523FD3" w:rsidRPr="00523FD3" w:rsidTr="00523FD3">
        <w:trPr>
          <w:trHeight w:val="180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произведений науки, литературы и искусства, исполнений, фонограмм, сообщений в эфир или по кабелю радио- или телепередач (далее - интеллектуальная собственность III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E/05.8</w:t>
            </w:r>
          </w:p>
        </w:tc>
      </w:tr>
      <w:tr w:rsidR="00523FD3" w:rsidRPr="00523FD3" w:rsidTr="00523FD3">
        <w:trPr>
          <w:trHeight w:val="129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культурных ценностей, возраст которых превышает сто лет (далее - культурные ценности III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E/06.8</w:t>
            </w:r>
          </w:p>
        </w:tc>
      </w:tr>
      <w:tr w:rsidR="00523FD3" w:rsidRPr="00523FD3" w:rsidTr="00523FD3">
        <w:trPr>
          <w:trHeight w:val="78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группой специалистов при определении стоимостей объектов (по направлениям)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E/07.8</w:t>
            </w:r>
          </w:p>
        </w:tc>
      </w:tr>
      <w:tr w:rsidR="00523FD3" w:rsidRPr="00523FD3" w:rsidTr="00523FD3">
        <w:trPr>
          <w:trHeight w:val="78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Экспертиза/проверка при определении стоимостей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Экспертиза/проверка итогового документа об определении стоимостей (по направлениям)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F/01.8</w:t>
            </w:r>
          </w:p>
        </w:tc>
      </w:tr>
      <w:tr w:rsidR="00523FD3" w:rsidRPr="00523FD3" w:rsidTr="00523FD3">
        <w:trPr>
          <w:trHeight w:val="540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Методологическая и научно-исследовательская деятельность в области определения стоимостей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Методологическая деятельность в области определения стоимостей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G/01.8</w:t>
            </w:r>
          </w:p>
        </w:tc>
      </w:tr>
      <w:tr w:rsidR="00523FD3" w:rsidRPr="00523FD3" w:rsidTr="00523FD3">
        <w:trPr>
          <w:trHeight w:val="78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в области определения стоимостей, организация их выполнения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G/02.8</w:t>
            </w:r>
          </w:p>
        </w:tc>
      </w:tr>
      <w:tr w:rsidR="00523FD3" w:rsidRPr="00523FD3" w:rsidTr="00523FD3">
        <w:trPr>
          <w:trHeight w:val="1290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структурным подразделением или оценочной организацией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процесса определения стоимостей и контроль деятельности работников в структурном подразделении или в оценочной организации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H/01.8</w:t>
            </w:r>
          </w:p>
        </w:tc>
      </w:tr>
      <w:tr w:rsidR="00523FD3" w:rsidRPr="00523FD3" w:rsidTr="00523FD3">
        <w:trPr>
          <w:trHeight w:val="129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аттестации (оценка квалификации) и контроль повышения профессионального уровня работников в структурном подразделении или в оценочной организации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H/02.8</w:t>
            </w:r>
          </w:p>
        </w:tc>
      </w:tr>
    </w:tbl>
    <w:p w:rsidR="00523FD3" w:rsidRDefault="00523FD3" w:rsidP="001C654F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C0C" w:rsidRDefault="00E22C0C" w:rsidP="00E22C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89">
        <w:rPr>
          <w:rFonts w:ascii="Times New Roman" w:hAnsi="Times New Roman" w:cs="Times New Roman"/>
          <w:b/>
          <w:sz w:val="24"/>
          <w:szCs w:val="24"/>
        </w:rPr>
        <w:t>1.3</w:t>
      </w:r>
      <w:r w:rsidRPr="00596589">
        <w:rPr>
          <w:rFonts w:ascii="Times New Roman" w:hAnsi="Times New Roman" w:cs="Times New Roman"/>
          <w:b/>
          <w:sz w:val="24"/>
          <w:szCs w:val="24"/>
        </w:rPr>
        <w:tab/>
        <w:t>Описание состава трудовых функций и обоснование их отнесения к конкретным уровням (подуровням) квалификаций</w:t>
      </w:r>
      <w:r w:rsidRPr="00596589">
        <w:rPr>
          <w:rFonts w:ascii="Times New Roman" w:hAnsi="Times New Roman" w:cs="Times New Roman"/>
          <w:b/>
          <w:sz w:val="24"/>
          <w:szCs w:val="24"/>
        </w:rPr>
        <w:tab/>
      </w:r>
    </w:p>
    <w:p w:rsidR="001C654F" w:rsidRPr="001C654F" w:rsidRDefault="001C654F" w:rsidP="001C654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К 6-му уровню квалификации относится самостоятельная деятельность, предполагающая определение задач собственной работы и/или подчиненных по достижению цели, обеспечение взаимодействия сотрудников и смежных подразделений, ответственность за результат выполнения работ на уровне подразделения или организации, разработка, внедрение, контроль, оценка и корректировка направлений профессиональной деятельности, технологических или методических решений, применение профессиональных знаний технологического или методического характера, в том числе, инновационных, самостоятельный поиск, анализ и оценка профессиональной информации  Для достижения уровня необходимо прохождение образовательных программ высшего образования - программы бакалавриата, образовательных программ среднего профессионального образования - программ подготовки специалистов среднего звена Дополнительные профессиональные программы Практический опыт .</w:t>
      </w:r>
    </w:p>
    <w:p w:rsidR="001C654F" w:rsidRPr="001C654F" w:rsidRDefault="001C654F" w:rsidP="001C654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54F" w:rsidRPr="001C654F" w:rsidRDefault="001C654F" w:rsidP="001C65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4F">
        <w:rPr>
          <w:rFonts w:ascii="Times New Roman" w:eastAsia="Times New Roman" w:hAnsi="Times New Roman" w:cs="Times New Roman"/>
          <w:sz w:val="24"/>
          <w:szCs w:val="24"/>
          <w:lang w:eastAsia="ru-RU"/>
        </w:rPr>
        <w:t>К 7-му уровню квалификации относится определение стратегии, управление процессами и деятельностью, в том числе, инновационной, с принятием решения на уровне крупных организаций или подразделений, ответственность за результаты деятельности крупных организаций или подразделений, решение задач развития области профессиональной деятельности и (или) организации с использованием разнообразных методов и технологий, в том числе, инновационных, разработка новых методов, технологий, понимание методологических основ профессиональной деятельности, создание новых знаний прикладного характера в определенной области, определение источников и поиск информации, необходимой для развития области профессиональной деятельности и /или организации. Для достижения уровня необходимо прохождение образовательных программ высшего образования - программ магистратуры или специалитета, дополнительных профессиональных программ и практический опыт.</w:t>
      </w:r>
    </w:p>
    <w:p w:rsidR="001C654F" w:rsidRPr="001C654F" w:rsidRDefault="001C654F" w:rsidP="001C65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C0C" w:rsidRPr="00596589" w:rsidRDefault="00E22C0C" w:rsidP="00E22C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89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596589">
        <w:rPr>
          <w:rFonts w:ascii="Times New Roman" w:hAnsi="Times New Roman" w:cs="Times New Roman"/>
          <w:b/>
          <w:sz w:val="24"/>
          <w:szCs w:val="24"/>
        </w:rPr>
        <w:tab/>
        <w:t>Основные этапы разработки проекта профессионального стандарта</w:t>
      </w:r>
      <w:r w:rsidRPr="00596589">
        <w:rPr>
          <w:rFonts w:ascii="Times New Roman" w:hAnsi="Times New Roman" w:cs="Times New Roman"/>
          <w:b/>
          <w:sz w:val="24"/>
          <w:szCs w:val="24"/>
        </w:rPr>
        <w:tab/>
      </w:r>
    </w:p>
    <w:p w:rsidR="00E22C0C" w:rsidRPr="00596589" w:rsidRDefault="00E22C0C" w:rsidP="00E22C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89">
        <w:rPr>
          <w:rFonts w:ascii="Times New Roman" w:hAnsi="Times New Roman" w:cs="Times New Roman"/>
          <w:b/>
          <w:sz w:val="24"/>
          <w:szCs w:val="24"/>
        </w:rPr>
        <w:t>2.1</w:t>
      </w:r>
      <w:r w:rsidRPr="00596589">
        <w:rPr>
          <w:rFonts w:ascii="Times New Roman" w:hAnsi="Times New Roman" w:cs="Times New Roman"/>
          <w:b/>
          <w:sz w:val="24"/>
          <w:szCs w:val="24"/>
        </w:rPr>
        <w:tab/>
        <w:t>Информация об организациях, на базе которых проводились исследования</w:t>
      </w:r>
      <w:r w:rsidRPr="00596589">
        <w:rPr>
          <w:rFonts w:ascii="Times New Roman" w:hAnsi="Times New Roman" w:cs="Times New Roman"/>
          <w:b/>
          <w:sz w:val="24"/>
          <w:szCs w:val="24"/>
        </w:rPr>
        <w:tab/>
      </w:r>
    </w:p>
    <w:p w:rsidR="00E22C0C" w:rsidRPr="00596589" w:rsidRDefault="00E22C0C" w:rsidP="00E22C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2C0C" w:rsidRPr="00596589" w:rsidRDefault="00E22C0C" w:rsidP="00E22C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89">
        <w:rPr>
          <w:rFonts w:ascii="Times New Roman" w:hAnsi="Times New Roman" w:cs="Times New Roman"/>
          <w:b/>
          <w:sz w:val="24"/>
          <w:szCs w:val="24"/>
        </w:rPr>
        <w:t>2.2</w:t>
      </w:r>
      <w:r w:rsidRPr="00596589">
        <w:rPr>
          <w:rFonts w:ascii="Times New Roman" w:hAnsi="Times New Roman" w:cs="Times New Roman"/>
          <w:b/>
          <w:sz w:val="24"/>
          <w:szCs w:val="24"/>
        </w:rPr>
        <w:tab/>
        <w:t>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</w:t>
      </w:r>
      <w:r w:rsidRPr="00596589">
        <w:rPr>
          <w:rFonts w:ascii="Times New Roman" w:hAnsi="Times New Roman" w:cs="Times New Roman"/>
          <w:b/>
          <w:sz w:val="24"/>
          <w:szCs w:val="24"/>
        </w:rPr>
        <w:tab/>
      </w:r>
    </w:p>
    <w:p w:rsidR="001C654F" w:rsidRPr="001C654F" w:rsidRDefault="001C654F" w:rsidP="001C65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54F">
        <w:rPr>
          <w:rFonts w:ascii="Times New Roman" w:hAnsi="Times New Roman" w:cs="Times New Roman"/>
          <w:sz w:val="24"/>
          <w:szCs w:val="24"/>
        </w:rPr>
        <w:t>К процессу разработки и согласования проекта профессионального стандарта были привлечены высококвалифицированные специалисты и эксперты из числа банковских работников и профессорско-преподавательского состава финансово-экономических вузов, в первую очередь, Финансового университета при Правительстве Российской Федерации. Главными критериями для выбора экспертов стали: наличие высшего и дополнительного финансово-экономического образования, наличие российских и международных сертификатов, стаж работы (не менее пяти лет в области лизинга и смежных областях), членство в профессиональных ассоциациях, союзах и т.д.</w:t>
      </w:r>
    </w:p>
    <w:p w:rsidR="001C654F" w:rsidRPr="001C654F" w:rsidRDefault="001C654F" w:rsidP="001C65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54F">
        <w:rPr>
          <w:rFonts w:ascii="Times New Roman" w:hAnsi="Times New Roman" w:cs="Times New Roman"/>
          <w:sz w:val="24"/>
          <w:szCs w:val="24"/>
        </w:rPr>
        <w:t>Согласно Приказа Министерства труда и социального развития Российской Федерации от 12 апреля 2013 года № 148н «Об утверждении уровней квалификации в целях разработки проектов профессиональных стандартов» эксперты должны соответствовать уровню квалификации не ниже 7 уровня, то есть иметь соответствующие знания (понимание методологических основ профессиональной деятельности, создание новых знаний прикладного характера в определенной области, определение источников и и поиск информации, необходимой для развития области профессиональной деятельности и организации) и умения (развитие задач области профессиональной деятельности и организации при помощи разнообразных методов и технологий, в том числе инновационных. Разработка новых методов, технологий).</w:t>
      </w:r>
    </w:p>
    <w:p w:rsidR="001C654F" w:rsidRPr="001C654F" w:rsidRDefault="001C654F" w:rsidP="001C65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54F">
        <w:rPr>
          <w:rFonts w:ascii="Times New Roman" w:hAnsi="Times New Roman" w:cs="Times New Roman"/>
          <w:sz w:val="24"/>
          <w:szCs w:val="24"/>
        </w:rPr>
        <w:t xml:space="preserve">С целью формирования реестра экспертов была осуществлена рассылка в профильные организации писем с запросом на предоставление данных о работающих специалистов данного профиля. На основании полученных сведений был составлен реестр экспертов, который включает ФИО эксперта, контактные данные, информацию об образовании (ВПО, ДПО), опыте и стаже работы. </w:t>
      </w:r>
    </w:p>
    <w:p w:rsidR="001C654F" w:rsidRPr="001C654F" w:rsidRDefault="001C654F" w:rsidP="001C6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4F">
        <w:rPr>
          <w:rFonts w:ascii="Times New Roman" w:hAnsi="Times New Roman" w:cs="Times New Roman"/>
          <w:sz w:val="24"/>
          <w:szCs w:val="24"/>
        </w:rPr>
        <w:t>К разработке профессионального стандарта было привлечено 50 экспертов в области лизинга и смежных областей финансового рынка.</w:t>
      </w:r>
    </w:p>
    <w:p w:rsidR="001C654F" w:rsidRPr="001C654F" w:rsidRDefault="001C654F" w:rsidP="001C6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4F">
        <w:rPr>
          <w:rFonts w:ascii="Times New Roman" w:hAnsi="Times New Roman" w:cs="Times New Roman"/>
          <w:sz w:val="24"/>
          <w:szCs w:val="24"/>
        </w:rPr>
        <w:t>При разработке профессионального стандарта использовались различные методы, и прежде всего:</w:t>
      </w:r>
    </w:p>
    <w:p w:rsidR="001C654F" w:rsidRPr="001C654F" w:rsidRDefault="001C654F" w:rsidP="001C6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4F">
        <w:rPr>
          <w:rFonts w:ascii="Times New Roman" w:hAnsi="Times New Roman" w:cs="Times New Roman"/>
          <w:sz w:val="24"/>
          <w:szCs w:val="24"/>
        </w:rPr>
        <w:t>- метод анализа (в т. нормативных документов);</w:t>
      </w:r>
    </w:p>
    <w:p w:rsidR="001C654F" w:rsidRPr="001C654F" w:rsidRDefault="001C654F" w:rsidP="001C6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4F">
        <w:rPr>
          <w:rFonts w:ascii="Times New Roman" w:hAnsi="Times New Roman" w:cs="Times New Roman"/>
          <w:sz w:val="24"/>
          <w:szCs w:val="24"/>
        </w:rPr>
        <w:t>- метод синтеза;</w:t>
      </w:r>
    </w:p>
    <w:p w:rsidR="001C654F" w:rsidRPr="001C654F" w:rsidRDefault="001C654F" w:rsidP="001C6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4F">
        <w:rPr>
          <w:rFonts w:ascii="Times New Roman" w:hAnsi="Times New Roman" w:cs="Times New Roman"/>
          <w:sz w:val="24"/>
          <w:szCs w:val="24"/>
        </w:rPr>
        <w:t>- моделирование;</w:t>
      </w:r>
    </w:p>
    <w:p w:rsidR="001C654F" w:rsidRPr="001C654F" w:rsidRDefault="001C654F" w:rsidP="001C6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4F">
        <w:rPr>
          <w:rFonts w:ascii="Times New Roman" w:hAnsi="Times New Roman" w:cs="Times New Roman"/>
          <w:sz w:val="24"/>
          <w:szCs w:val="24"/>
        </w:rPr>
        <w:t xml:space="preserve">-метод экспертных оценок;                           </w:t>
      </w:r>
    </w:p>
    <w:p w:rsidR="001C654F" w:rsidRPr="001C654F" w:rsidRDefault="001C654F" w:rsidP="001C6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4F">
        <w:rPr>
          <w:rFonts w:ascii="Times New Roman" w:hAnsi="Times New Roman" w:cs="Times New Roman"/>
          <w:sz w:val="24"/>
          <w:szCs w:val="24"/>
        </w:rPr>
        <w:t>- социологические методы (опрос, анкетирование).</w:t>
      </w:r>
    </w:p>
    <w:p w:rsidR="00E22C0C" w:rsidRPr="00596589" w:rsidRDefault="001C654F" w:rsidP="001C654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4F">
        <w:rPr>
          <w:rFonts w:ascii="Times New Roman" w:hAnsi="Times New Roman" w:cs="Times New Roman"/>
          <w:sz w:val="24"/>
          <w:szCs w:val="24"/>
        </w:rPr>
        <w:t>С целью актуализации профессионального стандарта «Специалист по страхованию» создана следующая рабочая группа.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54F">
        <w:rPr>
          <w:rFonts w:ascii="Times New Roman" w:hAnsi="Times New Roman" w:cs="Times New Roman"/>
          <w:sz w:val="24"/>
          <w:szCs w:val="24"/>
        </w:rPr>
        <w:t>Е.В. Петровской, И.А. Шевцовой, М.А. Власовой</w:t>
      </w:r>
      <w:r>
        <w:rPr>
          <w:rFonts w:ascii="Times New Roman" w:hAnsi="Times New Roman" w:cs="Times New Roman"/>
          <w:sz w:val="24"/>
          <w:szCs w:val="24"/>
        </w:rPr>
        <w:t>, Х.А.Мамаджанов.</w:t>
      </w:r>
    </w:p>
    <w:p w:rsidR="00E22C0C" w:rsidRPr="001C654F" w:rsidRDefault="001C654F" w:rsidP="001C654F">
      <w:pPr>
        <w:pStyle w:val="a8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C0C" w:rsidRPr="001C654F">
        <w:rPr>
          <w:rFonts w:ascii="Times New Roman" w:hAnsi="Times New Roman" w:cs="Times New Roman"/>
          <w:b/>
          <w:sz w:val="24"/>
          <w:szCs w:val="24"/>
        </w:rPr>
        <w:t>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стандарта.</w:t>
      </w:r>
    </w:p>
    <w:p w:rsidR="00E22C0C" w:rsidRPr="00596589" w:rsidRDefault="001C654F" w:rsidP="002404C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4F">
        <w:rPr>
          <w:rFonts w:ascii="Times New Roman" w:hAnsi="Times New Roman" w:cs="Times New Roman"/>
          <w:sz w:val="24"/>
          <w:szCs w:val="24"/>
        </w:rPr>
        <w:t>Федеральный закон "Об оценочной деятельности в Российской Федерации" от 29.07.1998 N 135-ФЗ (последняя редакция).</w:t>
      </w:r>
    </w:p>
    <w:p w:rsidR="00E22C0C" w:rsidRPr="00596589" w:rsidRDefault="00E22C0C" w:rsidP="00E22C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FB6" w:rsidRDefault="001D4FB6"/>
    <w:sectPr w:rsidR="001D4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95E" w:rsidRDefault="001E495E">
      <w:pPr>
        <w:spacing w:after="0" w:line="240" w:lineRule="auto"/>
      </w:pPr>
      <w:r>
        <w:separator/>
      </w:r>
    </w:p>
  </w:endnote>
  <w:endnote w:type="continuationSeparator" w:id="0">
    <w:p w:rsidR="001E495E" w:rsidRDefault="001E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54F" w:rsidRDefault="001C654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1C654F" w:rsidRPr="00B83DD7" w:rsidRDefault="001C654F" w:rsidP="00B83DD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54F" w:rsidRDefault="001C654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B72D6">
      <w:rPr>
        <w:noProof/>
      </w:rPr>
      <w:t>1</w:t>
    </w:r>
    <w:r>
      <w:fldChar w:fldCharType="end"/>
    </w:r>
  </w:p>
  <w:p w:rsidR="001C654F" w:rsidRDefault="001C65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95E" w:rsidRDefault="001E495E">
      <w:pPr>
        <w:spacing w:after="0" w:line="240" w:lineRule="auto"/>
      </w:pPr>
      <w:r>
        <w:separator/>
      </w:r>
    </w:p>
  </w:footnote>
  <w:footnote w:type="continuationSeparator" w:id="0">
    <w:p w:rsidR="001E495E" w:rsidRDefault="001E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54F" w:rsidRDefault="001E495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167850" o:spid="_x0000_s2052" type="#_x0000_t136" style="position:absolute;margin-left:95.55pt;margin-top:28.45pt;width:515.25pt;height:171.75pt;rotation:315;z-index:-251656192;mso-position-horizontal-relative:margin;mso-position-vertical-relative:margin" o:allowincell="f" fillcolor="gray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54F" w:rsidRPr="001513B7" w:rsidRDefault="001C654F" w:rsidP="001513B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54F" w:rsidRDefault="001E495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167849" o:spid="_x0000_s2051" type="#_x0000_t136" style="position:absolute;margin-left:0;margin-top:0;width:515.25pt;height:171.75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6B6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157"/>
    <w:multiLevelType w:val="hybridMultilevel"/>
    <w:tmpl w:val="3D0C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01CCD"/>
    <w:multiLevelType w:val="hybridMultilevel"/>
    <w:tmpl w:val="39F6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0E9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1BA"/>
    <w:multiLevelType w:val="multilevel"/>
    <w:tmpl w:val="43AA36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B24CF1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909D8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95409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E0A09"/>
    <w:multiLevelType w:val="hybridMultilevel"/>
    <w:tmpl w:val="CB12E892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B26052B"/>
    <w:multiLevelType w:val="hybridMultilevel"/>
    <w:tmpl w:val="EFC8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35734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83041"/>
    <w:multiLevelType w:val="hybridMultilevel"/>
    <w:tmpl w:val="AF72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81390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03C91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86C40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D7F7B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F4478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F4A83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22A61"/>
    <w:multiLevelType w:val="hybridMultilevel"/>
    <w:tmpl w:val="316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F5B61"/>
    <w:multiLevelType w:val="hybridMultilevel"/>
    <w:tmpl w:val="C9428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E42D9"/>
    <w:multiLevelType w:val="hybridMultilevel"/>
    <w:tmpl w:val="838866C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82E2178"/>
    <w:multiLevelType w:val="hybridMultilevel"/>
    <w:tmpl w:val="4EEA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10C4C"/>
    <w:multiLevelType w:val="multilevel"/>
    <w:tmpl w:val="ED9E4AB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A871610"/>
    <w:multiLevelType w:val="hybridMultilevel"/>
    <w:tmpl w:val="9BFA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41D6E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E41C7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F3AB8"/>
    <w:multiLevelType w:val="multilevel"/>
    <w:tmpl w:val="4EA0C66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2"/>
  </w:num>
  <w:num w:numId="9">
    <w:abstractNumId w:val="24"/>
  </w:num>
  <w:num w:numId="10">
    <w:abstractNumId w:val="16"/>
  </w:num>
  <w:num w:numId="11">
    <w:abstractNumId w:val="5"/>
  </w:num>
  <w:num w:numId="12">
    <w:abstractNumId w:val="13"/>
  </w:num>
  <w:num w:numId="13">
    <w:abstractNumId w:val="6"/>
  </w:num>
  <w:num w:numId="14">
    <w:abstractNumId w:val="17"/>
  </w:num>
  <w:num w:numId="15">
    <w:abstractNumId w:val="4"/>
  </w:num>
  <w:num w:numId="16">
    <w:abstractNumId w:val="26"/>
  </w:num>
  <w:num w:numId="17">
    <w:abstractNumId w:val="25"/>
  </w:num>
  <w:num w:numId="18">
    <w:abstractNumId w:val="15"/>
  </w:num>
  <w:num w:numId="19">
    <w:abstractNumId w:val="0"/>
  </w:num>
  <w:num w:numId="20">
    <w:abstractNumId w:val="7"/>
  </w:num>
  <w:num w:numId="21">
    <w:abstractNumId w:val="10"/>
  </w:num>
  <w:num w:numId="22">
    <w:abstractNumId w:val="1"/>
  </w:num>
  <w:num w:numId="23">
    <w:abstractNumId w:val="18"/>
  </w:num>
  <w:num w:numId="24">
    <w:abstractNumId w:val="19"/>
  </w:num>
  <w:num w:numId="25">
    <w:abstractNumId w:val="9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0C"/>
    <w:rsid w:val="001C654F"/>
    <w:rsid w:val="001D4FB6"/>
    <w:rsid w:val="001E495E"/>
    <w:rsid w:val="002404CF"/>
    <w:rsid w:val="003E7FDC"/>
    <w:rsid w:val="00523FD3"/>
    <w:rsid w:val="00546255"/>
    <w:rsid w:val="007B72D6"/>
    <w:rsid w:val="00C908EF"/>
    <w:rsid w:val="00CE65F2"/>
    <w:rsid w:val="00E2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EE58D839-6749-492C-B255-D176B5A2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FDC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rsid w:val="001C6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C6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1C6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C6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C6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Бровчак Сергей Валентинович</dc:creator>
  <cp:keywords/>
  <dc:description/>
  <cp:lastModifiedBy>Маргарита Власова</cp:lastModifiedBy>
  <cp:revision>2</cp:revision>
  <dcterms:created xsi:type="dcterms:W3CDTF">2017-09-04T17:26:00Z</dcterms:created>
  <dcterms:modified xsi:type="dcterms:W3CDTF">2017-09-04T17:26:00Z</dcterms:modified>
</cp:coreProperties>
</file>